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71F7E" w14:textId="73FF311E" w:rsidR="00EB21BE" w:rsidRPr="00610165" w:rsidRDefault="009210A6" w:rsidP="000E529A">
      <w:pPr>
        <w:spacing w:line="276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610165">
        <w:rPr>
          <w:rFonts w:ascii="Times New Roman" w:hAnsi="Times New Roman" w:cs="Times New Roman"/>
          <w:b/>
          <w:bCs/>
          <w:u w:val="single"/>
        </w:rPr>
        <w:t>Riorganizzazione ministeriale</w:t>
      </w:r>
    </w:p>
    <w:p w14:paraId="200C340D" w14:textId="0F359CC9" w:rsidR="000E529A" w:rsidRPr="00610165" w:rsidRDefault="000E529A" w:rsidP="000E529A">
      <w:pPr>
        <w:spacing w:line="276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16CC7821" w14:textId="3D294ACD" w:rsidR="000E529A" w:rsidRPr="00610165" w:rsidRDefault="000E529A" w:rsidP="000E529A">
      <w:pPr>
        <w:spacing w:line="276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742778E1" w14:textId="669AA56F" w:rsidR="000E529A" w:rsidRPr="00610165" w:rsidRDefault="000E529A" w:rsidP="000E529A">
      <w:pPr>
        <w:spacing w:line="276" w:lineRule="auto"/>
        <w:jc w:val="both"/>
        <w:rPr>
          <w:rFonts w:ascii="Times New Roman" w:hAnsi="Times New Roman" w:cs="Times New Roman"/>
        </w:rPr>
      </w:pPr>
      <w:r w:rsidRPr="00610165">
        <w:rPr>
          <w:rFonts w:ascii="Times New Roman" w:hAnsi="Times New Roman" w:cs="Times New Roman"/>
        </w:rPr>
        <w:t>La riorganizzazione ministeriale è una delle possibilità che è concessa al potere governativo.</w:t>
      </w:r>
    </w:p>
    <w:p w14:paraId="15322D6E" w14:textId="702B20D9" w:rsidR="00635DE6" w:rsidRDefault="000E529A" w:rsidP="00635DE6">
      <w:pPr>
        <w:spacing w:line="276" w:lineRule="auto"/>
        <w:jc w:val="both"/>
        <w:rPr>
          <w:rFonts w:ascii="Times New Roman" w:hAnsi="Times New Roman" w:cs="Times New Roman"/>
        </w:rPr>
      </w:pPr>
      <w:r w:rsidRPr="00610165">
        <w:rPr>
          <w:rFonts w:ascii="Times New Roman" w:hAnsi="Times New Roman" w:cs="Times New Roman"/>
        </w:rPr>
        <w:t xml:space="preserve">Nel corso degli anni si è sempre assistito ad un progressivo mutamento, non solo dei dicasteri ma anche delle funzioni, del personale, </w:t>
      </w:r>
      <w:r w:rsidR="00610165" w:rsidRPr="00610165">
        <w:rPr>
          <w:rFonts w:ascii="Times New Roman" w:hAnsi="Times New Roman" w:cs="Times New Roman"/>
        </w:rPr>
        <w:t>del</w:t>
      </w:r>
      <w:r w:rsidRPr="00610165">
        <w:rPr>
          <w:rFonts w:ascii="Times New Roman" w:hAnsi="Times New Roman" w:cs="Times New Roman"/>
        </w:rPr>
        <w:t>le risorse finanziarie e strumentali che contribuiscono a configurare l’insieme delle strutture organizzative dell’amministrazione centrale come un apparato amministrativo, che alle volte, a seguito di qualche riforma non è sembrato più sostanzialmente unitario.</w:t>
      </w:r>
    </w:p>
    <w:p w14:paraId="51CF4522" w14:textId="77777777" w:rsidR="000D415B" w:rsidRDefault="004F71CC" w:rsidP="000D415B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Rispetto alla odierna lezione si evidenzierà con attenzione la riforma ministeriale </w:t>
      </w:r>
      <w:r w:rsidR="000D415B">
        <w:rPr>
          <w:rFonts w:ascii="Times New Roman" w:hAnsi="Times New Roman" w:cs="Times New Roman"/>
        </w:rPr>
        <w:t>attuata dal Governo Meloni.</w:t>
      </w:r>
    </w:p>
    <w:p w14:paraId="18954B90" w14:textId="40E8A1E4" w:rsidR="000D415B" w:rsidRDefault="005A338C" w:rsidP="000D415B">
      <w:pPr>
        <w:spacing w:line="276" w:lineRule="auto"/>
        <w:jc w:val="both"/>
        <w:rPr>
          <w:rFonts w:ascii="Times New Roman" w:eastAsia="Times New Roman" w:hAnsi="Times New Roman" w:cs="Times New Roman"/>
          <w:color w:val="212121"/>
          <w:lang w:eastAsia="it-IT"/>
        </w:rPr>
      </w:pPr>
      <w:r w:rsidRPr="00635DE6">
        <w:rPr>
          <w:rFonts w:ascii="Times New Roman" w:eastAsia="Times New Roman" w:hAnsi="Times New Roman" w:cs="Times New Roman"/>
          <w:color w:val="212121"/>
          <w:lang w:eastAsia="it-IT"/>
        </w:rPr>
        <w:t>È</w:t>
      </w:r>
      <w:r w:rsidR="00635DE6" w:rsidRPr="00635DE6">
        <w:rPr>
          <w:rFonts w:ascii="Times New Roman" w:eastAsia="Times New Roman" w:hAnsi="Times New Roman" w:cs="Times New Roman"/>
          <w:color w:val="212121"/>
          <w:lang w:eastAsia="it-IT"/>
        </w:rPr>
        <w:t xml:space="preserve"> stato approvato definitivamente il disegno di legge di conversione del decreto-legge n. 173 del 2022 che interviene in materia di riordino delle attribuzioni dei ministeri</w:t>
      </w:r>
      <w:r w:rsidR="000D415B">
        <w:rPr>
          <w:rFonts w:ascii="Times New Roman" w:eastAsia="Times New Roman" w:hAnsi="Times New Roman" w:cs="Times New Roman"/>
          <w:color w:val="212121"/>
          <w:lang w:eastAsia="it-IT"/>
        </w:rPr>
        <w:t>.</w:t>
      </w:r>
    </w:p>
    <w:p w14:paraId="6D99B019" w14:textId="51CBD5C9" w:rsidR="000D415B" w:rsidRPr="000D415B" w:rsidRDefault="000D415B" w:rsidP="000D415B">
      <w:pPr>
        <w:spacing w:line="276" w:lineRule="auto"/>
        <w:jc w:val="both"/>
        <w:rPr>
          <w:rFonts w:ascii="Times New Roman" w:eastAsia="Times New Roman" w:hAnsi="Times New Roman" w:cs="Times New Roman"/>
          <w:color w:val="212121"/>
          <w:lang w:eastAsia="it-IT"/>
        </w:rPr>
      </w:pPr>
      <w:r w:rsidRPr="000D415B">
        <w:rPr>
          <w:rFonts w:ascii="Times New Roman" w:hAnsi="Times New Roman" w:cs="Times New Roman"/>
          <w:color w:val="212121"/>
        </w:rPr>
        <w:t xml:space="preserve">Il provvedimento stabilisce le nuove denominazioni e competenze di cinque ministeri: il Ministero dello sviluppo economico diventa Ministero delle imprese e del </w:t>
      </w:r>
      <w:r w:rsidRPr="000D415B">
        <w:rPr>
          <w:rFonts w:ascii="Times New Roman" w:hAnsi="Times New Roman" w:cs="Times New Roman"/>
          <w:i/>
          <w:iCs/>
          <w:color w:val="212121"/>
        </w:rPr>
        <w:t>made in Italy</w:t>
      </w:r>
      <w:r w:rsidRPr="000D415B">
        <w:rPr>
          <w:rFonts w:ascii="Times New Roman" w:hAnsi="Times New Roman" w:cs="Times New Roman"/>
          <w:color w:val="212121"/>
        </w:rPr>
        <w:t>; il Ministero delle politiche agricole alimentari e forestali, Ministero dell'agricoltura, della sovranit</w:t>
      </w:r>
      <w:r w:rsidR="004D05C1">
        <w:rPr>
          <w:rFonts w:ascii="Times New Roman" w:hAnsi="Times New Roman" w:cs="Times New Roman"/>
          <w:color w:val="212121"/>
        </w:rPr>
        <w:t xml:space="preserve">à </w:t>
      </w:r>
      <w:r w:rsidRPr="000D415B">
        <w:rPr>
          <w:rFonts w:ascii="Times New Roman" w:hAnsi="Times New Roman" w:cs="Times New Roman"/>
          <w:color w:val="212121"/>
        </w:rPr>
        <w:t xml:space="preserve">alimentare e delle foreste; il Ministero della transizione ecologica, Ministero dell'ambiente e della sicurezza energetica; il Ministero delle infrastrutture e della mobilità sostenibili, Ministero delle infrastrutture e dei trasporti; il Ministero dell'istruzione, Ministero dell'istruzione e del merito. </w:t>
      </w:r>
    </w:p>
    <w:p w14:paraId="2771EEC7" w14:textId="72FFC9A8" w:rsidR="00CF3736" w:rsidRDefault="00CF3736" w:rsidP="00CF3736">
      <w:pPr>
        <w:spacing w:line="276" w:lineRule="auto"/>
        <w:jc w:val="both"/>
        <w:rPr>
          <w:rFonts w:ascii="Times New Roman" w:hAnsi="Times New Roman" w:cs="Times New Roman"/>
        </w:rPr>
      </w:pPr>
      <w:r w:rsidRPr="00610165">
        <w:rPr>
          <w:rFonts w:ascii="Times New Roman" w:hAnsi="Times New Roman" w:cs="Times New Roman"/>
        </w:rPr>
        <w:t>Tra le novità più importanti vi è quella che il MIMIT avrà la co-presidenza del Comitato Interministeriale per la transizione ecologica (CITE), comitato di cui finora facevano parte il Presidente del Consiglio dei Ministri, il Ministro per la Transizione ecologica, il Ministro dell’economia e delle finanze, il Ministro dello sviluppo economico, il Ministro delle infrastrutture e della mobilità sostenibili, il Ministro del lavoro e delle politiche sociali e il Ministro delle politiche agricole alimentari forestali. Ciò fatto soprattutto per la condivisione delle strategie in materia energetica che, a seguito della guerra in Ucraina, è diventato un settore fondamentale avvertito come tale anche dalla comunità dei cittadini.</w:t>
      </w:r>
    </w:p>
    <w:p w14:paraId="2F13413E" w14:textId="21EC1F85" w:rsidR="00502A75" w:rsidRPr="00BE50D5" w:rsidRDefault="008A1716" w:rsidP="001C3CDC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Trascendendo dall’analisi organizzativa e descrittiva dei nuovi ministeri e delle funzioni ad essi affidati, a </w:t>
      </w:r>
      <w:r w:rsidR="00502A75" w:rsidRPr="00BE50D5">
        <w:rPr>
          <w:rFonts w:ascii="Times New Roman" w:hAnsi="Times New Roman" w:cs="Times New Roman"/>
        </w:rPr>
        <w:t>livello normativo è importante sottolineare il</w:t>
      </w:r>
      <w:r w:rsidR="00126E63">
        <w:rPr>
          <w:rFonts w:ascii="Times New Roman" w:hAnsi="Times New Roman" w:cs="Times New Roman"/>
        </w:rPr>
        <w:t xml:space="preserve"> ruolo rivestito dal</w:t>
      </w:r>
      <w:r w:rsidR="00502A75" w:rsidRPr="00BE50D5">
        <w:rPr>
          <w:rFonts w:ascii="Times New Roman" w:hAnsi="Times New Roman" w:cs="Times New Roman"/>
        </w:rPr>
        <w:t xml:space="preserve"> comma 4-bis dell’art. 17 della L. n. 400/1988</w:t>
      </w:r>
      <w:r w:rsidR="00662CF2">
        <w:rPr>
          <w:rFonts w:ascii="Times New Roman" w:hAnsi="Times New Roman" w:cs="Times New Roman"/>
        </w:rPr>
        <w:t xml:space="preserve"> è la divergenza del procedimento normativo utilizzato dall’odierno Governo su cui sarà opportuno soffermarsi</w:t>
      </w:r>
      <w:r w:rsidR="00CE3485">
        <w:rPr>
          <w:rFonts w:ascii="Times New Roman" w:hAnsi="Times New Roman" w:cs="Times New Roman"/>
        </w:rPr>
        <w:t>.</w:t>
      </w:r>
    </w:p>
    <w:p w14:paraId="5369A950" w14:textId="1EDA9333" w:rsidR="001C3CDC" w:rsidRPr="00BE50D5" w:rsidRDefault="00502A75" w:rsidP="001C3CDC">
      <w:pPr>
        <w:spacing w:line="276" w:lineRule="auto"/>
        <w:jc w:val="both"/>
        <w:rPr>
          <w:rFonts w:ascii="Times New Roman" w:hAnsi="Times New Roman" w:cs="Times New Roman"/>
        </w:rPr>
      </w:pPr>
      <w:r w:rsidRPr="00BE50D5">
        <w:rPr>
          <w:rFonts w:ascii="Times New Roman" w:hAnsi="Times New Roman" w:cs="Times New Roman"/>
        </w:rPr>
        <w:t>Secondo alcuni in dottrina i</w:t>
      </w:r>
      <w:r w:rsidR="008A12F3" w:rsidRPr="00BE50D5">
        <w:rPr>
          <w:rFonts w:ascii="Times New Roman" w:hAnsi="Times New Roman" w:cs="Times New Roman"/>
        </w:rPr>
        <w:t>l</w:t>
      </w:r>
      <w:r w:rsidR="008A12F3" w:rsidRPr="00BE50D5">
        <w:rPr>
          <w:rFonts w:ascii="Times New Roman" w:hAnsi="Times New Roman" w:cs="Times New Roman"/>
        </w:rPr>
        <w:t xml:space="preserve"> comma 4-</w:t>
      </w:r>
      <w:r w:rsidR="008A12F3" w:rsidRPr="00BE50D5">
        <w:rPr>
          <w:rFonts w:ascii="Times New Roman" w:hAnsi="Times New Roman" w:cs="Times New Roman"/>
          <w:i/>
          <w:iCs/>
        </w:rPr>
        <w:t xml:space="preserve">bis </w:t>
      </w:r>
      <w:r w:rsidR="008A12F3" w:rsidRPr="00BE50D5">
        <w:rPr>
          <w:rFonts w:ascii="Times New Roman" w:hAnsi="Times New Roman" w:cs="Times New Roman"/>
        </w:rPr>
        <w:t xml:space="preserve">nell’art. 17 in materia di organizzazione dei Ministeri avrebbe codificato una sorta di </w:t>
      </w:r>
      <w:r w:rsidR="00BE50D5">
        <w:rPr>
          <w:rFonts w:ascii="Times New Roman" w:hAnsi="Times New Roman" w:cs="Times New Roman"/>
          <w:i/>
          <w:iCs/>
        </w:rPr>
        <w:t>“</w:t>
      </w:r>
      <w:r w:rsidR="008A12F3" w:rsidRPr="00BE50D5">
        <w:rPr>
          <w:rFonts w:ascii="Times New Roman" w:hAnsi="Times New Roman" w:cs="Times New Roman"/>
          <w:i/>
          <w:iCs/>
        </w:rPr>
        <w:t>riserva di regolamento</w:t>
      </w:r>
      <w:r w:rsidR="00BE50D5">
        <w:rPr>
          <w:rFonts w:ascii="Times New Roman" w:hAnsi="Times New Roman" w:cs="Times New Roman"/>
          <w:i/>
          <w:iCs/>
        </w:rPr>
        <w:t>”</w:t>
      </w:r>
      <w:r w:rsidR="008A12F3" w:rsidRPr="00BE50D5">
        <w:rPr>
          <w:rFonts w:ascii="Times New Roman" w:hAnsi="Times New Roman" w:cs="Times New Roman"/>
          <w:i/>
          <w:iCs/>
        </w:rPr>
        <w:t>,</w:t>
      </w:r>
      <w:r w:rsidR="008A12F3" w:rsidRPr="00BE50D5">
        <w:rPr>
          <w:rFonts w:ascii="Times New Roman" w:hAnsi="Times New Roman" w:cs="Times New Roman"/>
        </w:rPr>
        <w:t xml:space="preserve"> incompatibile con le riserve di legge di cui agli articoli 95, comma 3, e 97, comma 2, Cost. </w:t>
      </w:r>
    </w:p>
    <w:p w14:paraId="02CA0486" w14:textId="58FEFFF3" w:rsidR="009210A6" w:rsidRPr="00744B2E" w:rsidRDefault="00BE50D5" w:rsidP="00744B2E">
      <w:pPr>
        <w:spacing w:line="276" w:lineRule="auto"/>
        <w:jc w:val="both"/>
        <w:rPr>
          <w:rFonts w:ascii="Times New Roman" w:hAnsi="Times New Roman" w:cs="Times New Roman"/>
          <w:color w:val="212121"/>
        </w:rPr>
      </w:pPr>
      <w:r>
        <w:rPr>
          <w:rFonts w:ascii="Times New Roman" w:hAnsi="Times New Roman" w:cs="Times New Roman"/>
          <w:color w:val="212121"/>
        </w:rPr>
        <w:t>Proprio l’</w:t>
      </w:r>
      <w:r w:rsidR="00635DE6" w:rsidRPr="00BE50D5">
        <w:rPr>
          <w:rFonts w:ascii="Times New Roman" w:hAnsi="Times New Roman" w:cs="Times New Roman"/>
          <w:color w:val="212121"/>
        </w:rPr>
        <w:t>articolo 13</w:t>
      </w:r>
      <w:r w:rsidR="00D812A0">
        <w:rPr>
          <w:rFonts w:ascii="Times New Roman" w:hAnsi="Times New Roman" w:cs="Times New Roman"/>
          <w:color w:val="212121"/>
        </w:rPr>
        <w:t xml:space="preserve"> del </w:t>
      </w:r>
      <w:r w:rsidR="00D812A0" w:rsidRPr="00635DE6">
        <w:rPr>
          <w:rFonts w:ascii="Times New Roman" w:eastAsia="Times New Roman" w:hAnsi="Times New Roman" w:cs="Times New Roman"/>
          <w:color w:val="212121"/>
          <w:lang w:eastAsia="it-IT"/>
        </w:rPr>
        <w:t>decreto-legge n. 173 del 2022</w:t>
      </w:r>
      <w:r w:rsidR="00CE5A22">
        <w:rPr>
          <w:rFonts w:ascii="Times New Roman" w:eastAsia="Times New Roman" w:hAnsi="Times New Roman" w:cs="Times New Roman"/>
          <w:color w:val="212121"/>
          <w:lang w:eastAsia="it-IT"/>
        </w:rPr>
        <w:t>,</w:t>
      </w:r>
      <w:r w:rsidR="00D812A0" w:rsidRPr="00635DE6">
        <w:rPr>
          <w:rFonts w:ascii="Times New Roman" w:eastAsia="Times New Roman" w:hAnsi="Times New Roman" w:cs="Times New Roman"/>
          <w:color w:val="212121"/>
          <w:lang w:eastAsia="it-IT"/>
        </w:rPr>
        <w:t xml:space="preserve"> </w:t>
      </w:r>
      <w:r w:rsidR="00635DE6" w:rsidRPr="00BE50D5">
        <w:rPr>
          <w:rFonts w:ascii="Times New Roman" w:hAnsi="Times New Roman" w:cs="Times New Roman"/>
          <w:color w:val="212121"/>
        </w:rPr>
        <w:t>stabilisce che a decorrere dalla data di entrata in vigore della legge di conversione del decreto e fino al 30 giugno 2023 i regolamenti di organizzazione dei ministeri sono adottati con decreto del Presidente del Consiglio dei ministri, in deroga al procedimento ordinario stabilito dall'articolo 17, comma 4-bis, della L. 400/1988 (</w:t>
      </w:r>
      <w:r w:rsidR="006E1E43">
        <w:rPr>
          <w:rFonts w:ascii="Times New Roman" w:hAnsi="Times New Roman" w:cs="Times New Roman"/>
          <w:color w:val="212121"/>
        </w:rPr>
        <w:t>nonché</w:t>
      </w:r>
      <w:r w:rsidR="00635DE6" w:rsidRPr="00BE50D5">
        <w:rPr>
          <w:rFonts w:ascii="Times New Roman" w:hAnsi="Times New Roman" w:cs="Times New Roman"/>
          <w:color w:val="212121"/>
        </w:rPr>
        <w:t xml:space="preserve"> dall'articolo 4 del </w:t>
      </w:r>
      <w:r w:rsidR="00AC59F9" w:rsidRPr="00BE50D5">
        <w:rPr>
          <w:rFonts w:ascii="Times New Roman" w:hAnsi="Times New Roman" w:cs="Times New Roman"/>
          <w:color w:val="212121"/>
        </w:rPr>
        <w:t>D.lgs.</w:t>
      </w:r>
      <w:r w:rsidR="00635DE6" w:rsidRPr="00BE50D5">
        <w:rPr>
          <w:rFonts w:ascii="Times New Roman" w:hAnsi="Times New Roman" w:cs="Times New Roman"/>
          <w:color w:val="212121"/>
        </w:rPr>
        <w:t xml:space="preserve"> 300/1999) che prevede regolamenti governativi di delegificazione, anche alla luce della riserva di legge relativa in materia dell'articolo 95, terzo comma, della Costituzione. </w:t>
      </w:r>
    </w:p>
    <w:p w14:paraId="34DC536E" w14:textId="03796A85" w:rsidR="000E529A" w:rsidRPr="00610165" w:rsidRDefault="000E529A" w:rsidP="000E529A">
      <w:pPr>
        <w:spacing w:line="276" w:lineRule="auto"/>
        <w:rPr>
          <w:rFonts w:ascii="Times New Roman" w:hAnsi="Times New Roman" w:cs="Times New Roman"/>
          <w:b/>
          <w:bCs/>
          <w:u w:val="single"/>
        </w:rPr>
      </w:pPr>
    </w:p>
    <w:p w14:paraId="63F835B3" w14:textId="44D32A01" w:rsidR="000E529A" w:rsidRPr="00610165" w:rsidRDefault="000E529A" w:rsidP="000E529A">
      <w:pPr>
        <w:spacing w:line="276" w:lineRule="auto"/>
        <w:rPr>
          <w:rFonts w:ascii="Times New Roman" w:hAnsi="Times New Roman" w:cs="Times New Roman"/>
          <w:b/>
          <w:bCs/>
          <w:u w:val="single"/>
        </w:rPr>
      </w:pPr>
    </w:p>
    <w:sectPr w:rsidR="000E529A" w:rsidRPr="0061016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0A6"/>
    <w:rsid w:val="000D415B"/>
    <w:rsid w:val="000E529A"/>
    <w:rsid w:val="00116554"/>
    <w:rsid w:val="00126E63"/>
    <w:rsid w:val="001C3CDC"/>
    <w:rsid w:val="003577D2"/>
    <w:rsid w:val="004554B6"/>
    <w:rsid w:val="004D05C1"/>
    <w:rsid w:val="004F71CC"/>
    <w:rsid w:val="00502A75"/>
    <w:rsid w:val="005033B2"/>
    <w:rsid w:val="005A338C"/>
    <w:rsid w:val="00610165"/>
    <w:rsid w:val="00616382"/>
    <w:rsid w:val="0063487F"/>
    <w:rsid w:val="00635DE6"/>
    <w:rsid w:val="00662CF2"/>
    <w:rsid w:val="006E1E43"/>
    <w:rsid w:val="00744B2E"/>
    <w:rsid w:val="007E3E40"/>
    <w:rsid w:val="008A12F3"/>
    <w:rsid w:val="008A1716"/>
    <w:rsid w:val="009210A6"/>
    <w:rsid w:val="00AC59F9"/>
    <w:rsid w:val="00BE50D5"/>
    <w:rsid w:val="00CE3485"/>
    <w:rsid w:val="00CE5A22"/>
    <w:rsid w:val="00CF3736"/>
    <w:rsid w:val="00D62477"/>
    <w:rsid w:val="00D812A0"/>
    <w:rsid w:val="00D826C8"/>
    <w:rsid w:val="00EB093F"/>
    <w:rsid w:val="00EB21BE"/>
    <w:rsid w:val="00ED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5964B7"/>
  <w15:chartTrackingRefBased/>
  <w15:docId w15:val="{B87FE8FC-D99A-A34D-8277-2DACB1D1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77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77D2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3577D2"/>
  </w:style>
  <w:style w:type="paragraph" w:styleId="NormaleWeb">
    <w:name w:val="Normal (Web)"/>
    <w:basedOn w:val="Normale"/>
    <w:uiPriority w:val="99"/>
    <w:semiHidden/>
    <w:unhideWhenUsed/>
    <w:rsid w:val="00EB093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1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4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56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05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3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6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13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9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32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4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0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81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5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1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74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maria giuliano</dc:creator>
  <cp:keywords/>
  <dc:description/>
  <cp:lastModifiedBy>Giuseppe Sferrazzo</cp:lastModifiedBy>
  <cp:revision>33</cp:revision>
  <dcterms:created xsi:type="dcterms:W3CDTF">2023-02-22T19:10:00Z</dcterms:created>
  <dcterms:modified xsi:type="dcterms:W3CDTF">2023-03-18T13:17:00Z</dcterms:modified>
</cp:coreProperties>
</file>